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Naciones Unidas COP - CCC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 w:line="240" w:lineRule="auto"/>
        <w:ind w:right="809"/>
        <w:jc w:val="both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highlight w:val="white"/>
        </w:rPr>
        <w:t xml:space="preserve">Conferencia de las Partes: Convención del Cambio Climático                      (COP- CCC)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-171449</wp:posOffset>
            </wp:positionH>
            <wp:positionV relativeFrom="paragraph">
              <wp:posOffset>276225</wp:posOffset>
            </wp:positionV>
            <wp:extent cx="2795721" cy="82048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6268" t="16122" r="3039" b="13174"/>
                    <a:stretch>
                      <a:fillRect/>
                    </a:stretch>
                  </pic:blipFill>
                  <pic:spPr>
                    <a:xfrm>
                      <a:off x="0" y="0"/>
                      <a:ext cx="2795721" cy="820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35" w:lineRule="auto"/>
        <w:ind w:left="117" w:firstLine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19050" distB="19050" distL="19050" distR="19050">
            <wp:extent cx="5715000" cy="190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NOMBRE DEL BLOQUE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(El que el bloque desee) 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COP - CCC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Tópico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(Tópico </w:t>
      </w:r>
      <w:r>
        <w:rPr>
          <w:rFonts w:ascii="Times New Roman" w:eastAsia="Times New Roman" w:hAnsi="Times New Roman" w:cs="Times New Roman"/>
          <w:sz w:val="24"/>
          <w:szCs w:val="24"/>
        </w:rPr>
        <w:t>que se haya elegido en la sesión)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Patrocinador (líder)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arios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CLÁUSULAS PREAMBULATORIAS </w:t>
      </w:r>
    </w:p>
    <w:p w:rsidR="00A9265E" w:rsidRDefault="0031472C">
      <w:pPr>
        <w:widowControl w:val="0"/>
        <w:spacing w:before="379" w:line="240" w:lineRule="auto"/>
        <w:ind w:left="14" w:right="181" w:firstLine="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Son las cláusulas que proporcionan un contexto, razonamiento y justificación a las cláusulas operativas, es decir a las soluciones propuestas por el comité en la Resolución. Establece la razón por la cual el comité trata el tema y las acciones internaciona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les más relevantes que se han llevado a cabo en referencia al asunto. Cada cláusula comienza con un verbo en gerundio y termina como una coma. Las pautas generales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pueden incluir:</w:t>
      </w:r>
    </w:p>
    <w:p w:rsidR="00A9265E" w:rsidRDefault="0031472C">
      <w:pPr>
        <w:widowControl w:val="0"/>
        <w:numPr>
          <w:ilvl w:val="0"/>
          <w:numId w:val="2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Referencias a la carta de las Naciones Unidas</w:t>
      </w:r>
    </w:p>
    <w:p w:rsidR="00A9265E" w:rsidRDefault="0031472C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Citaciones a pasadas resolucio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nes de la ONU que tienen relación con el asunto que se discute</w:t>
      </w:r>
    </w:p>
    <w:p w:rsidR="00A9265E" w:rsidRDefault="0031472C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Menciones a las declaraciones hechas por el secretario general o el un cuerpo relevante o agencia de la ONU</w:t>
      </w:r>
    </w:p>
    <w:p w:rsidR="00A9265E" w:rsidRDefault="0031472C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Reconocimiento a los esfuerzos de organizaciones no gubernamentales que tratan el tem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</w:p>
    <w:p w:rsidR="00A9265E" w:rsidRDefault="0031472C">
      <w:pPr>
        <w:widowControl w:val="0"/>
        <w:numPr>
          <w:ilvl w:val="0"/>
          <w:numId w:val="2"/>
        </w:num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Declaraciones generales sobre el tema que son importantes y significativas.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362" w:lineRule="auto"/>
        <w:ind w:left="14" w:right="181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Ejemplos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(Borrar al final)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Conscientes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que cada nación posee diferencias sociales, culturales, económicas y políticas, por lo cual las necesidades varían dentro de estas, es por tal motivo que el presente acuerdo tiene la apertura para adaptarse a cada uno de ellos,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Firmemente convencido qu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los recursos económicos de alguna de las naciones son de carácter limitado, se buscará el financiamiento de organizaciones tales como; el Banco Mundial, la Organización Internacional del Trabajo, y, el Banco de Desarrollo,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Guiados por la carta de la Orga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nización de los Estados Americanos, se establece la igualdad entre las naciones conformantes de este bloque, velando por la soberanía y el respeto mutuo entre las políticas individuales de cada nación,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Afirmando el compromiso con las organizaciones interna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cionales en busca de acabar con la informalidad,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Alarmado por las consecuencias generadas por la economía informal,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Gravemente preocupado por todas las problemáticas en las que se encuentran los ciudadanos de los países Latinoamericanos por pertenecer a 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 área de trabajo,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Enfatizando en que los problemas ligados a la economía informal generan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los gobiernos no sean capaces de proporcionar el mejor servicio a sus pobladores,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Considerando que los trabajadores que dependen de la economía informal no cuent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con suficientes garantías ni derechos,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Convencido de que se puede llegar a una solución factible, beneficiaria y sobre todo adaptable según cada país crea pertinente por su economía y desarrollo,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Deseando que la economía informal no prospere si no que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ás bien se encuentren soluciones para los empleados y trabajadores que sufren debido a estos tipos de trabajos,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CLÁUSULAS OPERATIVAS 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Identifican las acciones o recomendaciones hechas en la resolución. Cada cláusula operativa empieza con un verbo en tiempo presente del modo indicativo, llamada frase operativa y termina con un punto y coma. Organizadas siguiendo una estructura lógica. Cad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una contiene una idea o propuesta y siempre están numeradas. Si la cláusula requiere una explicación adicional se pueden utilizar letras o números romanos para señalarlo. Deben recomendar, establecer, definir, alentar, o pedir ciertas acciones, o bien se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ntar opiniones favorables y/o desfavorables con respecto a una situación existente. Puede adquirir el carácter de Recomendación, Declaración, Convención, Tratado, Reglamento, etc... 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ind w:left="17"/>
        <w:jc w:val="both"/>
        <w:rPr>
          <w:rFonts w:ascii="Times New Roman" w:eastAsia="Times New Roman" w:hAnsi="Times New Roman" w:cs="Times New Roman"/>
          <w:color w:val="81818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Ejemplos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(Borrar al final)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</w:p>
    <w:p w:rsidR="00A9265E" w:rsidRDefault="003147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 en que la educación comienza prior</w:t>
      </w:r>
      <w:r>
        <w:rPr>
          <w:rFonts w:ascii="Times New Roman" w:eastAsia="Times New Roman" w:hAnsi="Times New Roman" w:cs="Times New Roman"/>
          <w:sz w:val="24"/>
          <w:szCs w:val="24"/>
        </w:rPr>
        <w:t>itariamente con el análisis y estudio y esto con un sistema educativo que se adapte a los alumnos, esto se logrará liderado por la OEA creando plataformas digitales con un análisis completo de cada perfil de los estudiantes que lo conforman, esto es, sin pérdida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dinero por lo cual el proyecto TUSA sugiere la reclutación de universitarios a punto de titularse teniendo como propósito de tesis al:</w:t>
      </w:r>
    </w:p>
    <w:p w:rsidR="00A9265E" w:rsidRDefault="003147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Alentar la educación profesional, resaltando que para aquellos países que no se les sea posible sustentar dicha deberán aplicar programas de educación técnica desde la educación media,</w:t>
      </w:r>
    </w:p>
    <w:p w:rsidR="00A9265E" w:rsidRDefault="003147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Recomendar la capacitación de adultos y de mayores no jubilados con el </w:t>
      </w:r>
      <w:r>
        <w:rPr>
          <w:rFonts w:ascii="Times New Roman" w:eastAsia="Times New Roman" w:hAnsi="Times New Roman" w:cs="Times New Roman"/>
          <w:sz w:val="24"/>
          <w:szCs w:val="24"/>
        </w:rPr>
        <w:t>fin de unir la fuerza laboral nacional,</w:t>
      </w:r>
    </w:p>
    <w:p w:rsidR="00A9265E" w:rsidRDefault="003147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Exhortar a la implementación y adquisición de microempresas y educación manteniendo cercanía con el programa nacional,</w:t>
      </w:r>
    </w:p>
    <w:p w:rsidR="00A9265E" w:rsidRDefault="003147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Buscar el uso de escuelas técnicas vinculado al programa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microempresas y una evaluación de áreas de oportunidad dirigida por orientación profesional;</w:t>
      </w:r>
    </w:p>
    <w:p w:rsidR="00A9265E" w:rsidRDefault="00A926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A9265E" w:rsidRDefault="003147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Enfatiza la importancia de promover la educación primaria y secundaria obligatoria, como método de red</w:t>
      </w:r>
      <w:r>
        <w:rPr>
          <w:rFonts w:ascii="Times New Roman" w:eastAsia="Times New Roman" w:hAnsi="Times New Roman" w:cs="Times New Roman"/>
          <w:sz w:val="24"/>
          <w:szCs w:val="24"/>
        </w:rPr>
        <w:t>ucción de la informalidad a largo plazo y la reducción del trabajo infantil, Se 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sugiere a los diferentes gobiernos:</w:t>
      </w:r>
    </w:p>
    <w:p w:rsidR="00A9265E" w:rsidRDefault="003147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Establecer métodos de sanciones a aquellas familias cuyos hijos no estén enrolados en el sistema educativo correspondiente,</w:t>
      </w:r>
    </w:p>
    <w:p w:rsidR="00A9265E" w:rsidRDefault="003147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Implementar proyectos con el fin de incentivar a la participación en la educación como lo son,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por ejemplo, las meriendas escolares,</w:t>
      </w:r>
    </w:p>
    <w:p w:rsidR="00A9265E" w:rsidRDefault="00A926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 Anima la implementación de proyectos de salud universales que sean accesibles por los</w:t>
      </w: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ciudadanos, sin importar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estatus laboral, para así, mejorar la calidad de vida de los mismos. Entre ellos:</w:t>
      </w:r>
    </w:p>
    <w:p w:rsidR="00A9265E" w:rsidRDefault="003147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sistema de vacunación gratuita para aquellos menores en el rango de edades entre los 0 y los 5 años;</w:t>
      </w:r>
    </w:p>
    <w:p w:rsidR="00A9265E" w:rsidRDefault="00A926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A9265E" w:rsidRDefault="00314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Hace hincapié en torno a las problemáticas ligadas a los migrantes, fomentando la creación de campañas que promuevan el trabajo interno en los países para disminuir la migración masiva hacia Estados Unidos y demás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países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américa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265E" w:rsidRDefault="00A926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A9265E" w:rsidRDefault="00A926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sectPr w:rsidR="00A9265E">
      <w:pgSz w:w="11920" w:h="16840"/>
      <w:pgMar w:top="1370" w:right="1295" w:bottom="529" w:left="13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C0A6B"/>
    <w:multiLevelType w:val="multilevel"/>
    <w:tmpl w:val="975C1040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4A9758F9"/>
    <w:multiLevelType w:val="multilevel"/>
    <w:tmpl w:val="18C6C044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552C41B4"/>
    <w:multiLevelType w:val="multilevel"/>
    <w:tmpl w:val="AF469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744FB9"/>
    <w:multiLevelType w:val="multilevel"/>
    <w:tmpl w:val="5002E2D4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639772E0"/>
    <w:multiLevelType w:val="multilevel"/>
    <w:tmpl w:val="762257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5E"/>
    <w:rsid w:val="0031472C"/>
    <w:rsid w:val="00A9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95E1C-E02F-47F0-ACE6-10BDA92A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4763</Characters>
  <Application>Microsoft Office Word</Application>
  <DocSecurity>0</DocSecurity>
  <Lines>39</Lines>
  <Paragraphs>11</Paragraphs>
  <ScaleCrop>false</ScaleCrop>
  <Company>HP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Peña</cp:lastModifiedBy>
  <cp:revision>2</cp:revision>
  <dcterms:created xsi:type="dcterms:W3CDTF">2022-10-21T05:15:00Z</dcterms:created>
  <dcterms:modified xsi:type="dcterms:W3CDTF">2022-10-21T05:17:00Z</dcterms:modified>
</cp:coreProperties>
</file>