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Naciones Unidas ONU Mujeres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40" w:lineRule="auto"/>
        <w:ind w:right="809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  <w:t>Entidad de la ONU para la Igualdad de Género y el Empoderamiento de la Mujer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-66674</wp:posOffset>
            </wp:positionH>
            <wp:positionV relativeFrom="paragraph">
              <wp:posOffset>180975</wp:posOffset>
            </wp:positionV>
            <wp:extent cx="2206739" cy="741326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t="34943" b="31390"/>
                    <a:stretch>
                      <a:fillRect/>
                    </a:stretch>
                  </pic:blipFill>
                  <pic:spPr>
                    <a:xfrm>
                      <a:off x="0" y="0"/>
                      <a:ext cx="2206739" cy="741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right="3164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ONU Mujeres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)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35" w:lineRule="auto"/>
        <w:ind w:left="117" w:firstLine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19050" distB="19050" distL="19050" distR="19050">
            <wp:extent cx="5715000" cy="190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NOMBRE DEL BLOQUE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(El que el bloque desee)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ONU Mujeres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Tópico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(Tópico que se haya elegido en la sesión)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Patrocinador (líder)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arios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CLÁUSULAS PREAMBULATORIAS </w:t>
      </w:r>
    </w:p>
    <w:p w:rsidR="00E930BE" w:rsidRDefault="00D44269">
      <w:pPr>
        <w:widowControl w:val="0"/>
        <w:spacing w:before="379" w:line="240" w:lineRule="auto"/>
        <w:ind w:left="14" w:right="181" w:firstLine="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Son las cláusulas que proporcionan un contexto, razonamiento y justificación a las cláusulas operativas, es decir a las soluciones propuestas por el comité en la Resolución. Establece la razón por la cual el comité trata el tema y las acciones internaciona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les más relevantes que se han llevado a cabo en referencia al asunto. Cada cláusula comienza con un verbo en gerundio y termina como una coma. Las pautas generales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pueden incluir:</w:t>
      </w:r>
    </w:p>
    <w:p w:rsidR="00E930BE" w:rsidRDefault="00D44269">
      <w:pPr>
        <w:widowControl w:val="0"/>
        <w:numPr>
          <w:ilvl w:val="0"/>
          <w:numId w:val="2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Referencias a la carta de las Naciones Unidas</w:t>
      </w:r>
    </w:p>
    <w:p w:rsidR="00E930BE" w:rsidRDefault="00D44269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Citaciones a pasadas resolucio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nes de la ONU que tienen relación con el asunto que se discute</w:t>
      </w:r>
    </w:p>
    <w:p w:rsidR="00E930BE" w:rsidRDefault="00D44269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Menciones a las declaraciones hechas por el secretario general o el un cuerpo relevante o agencia de la ONU</w:t>
      </w:r>
    </w:p>
    <w:p w:rsidR="00E930BE" w:rsidRDefault="00D44269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Reconocimiento a los esfuerzos de organizaciones no gubernamentales que tratan el tem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</w:p>
    <w:p w:rsidR="00E930BE" w:rsidRDefault="00D44269">
      <w:pPr>
        <w:widowControl w:val="0"/>
        <w:numPr>
          <w:ilvl w:val="0"/>
          <w:numId w:val="2"/>
        </w:num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Declaraciones generales sobre el tema que son importantes y significativas.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362" w:lineRule="auto"/>
        <w:ind w:left="14" w:right="181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Ejemplos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(Borrar al final)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Conscientes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que cada nación posee diferencias sociales, culturales, económicas y políticas, por lo cual las necesidades varían dentro de estas, es por tal motivo que el presente acuerdo tiene la apertura para adaptarse a cada uno de ellos,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Firmemente convencido qu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los recursos económicos de alguna de las naciones son de carácter limitado, se buscará el financiamiento de organizaciones tales como; el Banco Mundial, la Organización Internacional del Trabajo, y, el Banco de Desarrollo,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Guiados por la carta de la Orga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nización de los Estados Americanos, se establece la igualdad entre las naciones conformantes de este bloque, velando por la soberanía y el respeto mutuo entre las políticas individuales de cada nación,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Afirmando el compromiso con las organizaciones interna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cionales en busca de acabar con la informalidad,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Alarmado por las consecuencias generadas por la economía informal,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Gravemente preocupado por todas las problemáticas en las que se encuentran los ciudadanos de los países Latinoamericanos por pertenecer a 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 área de trabajo,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Enfatizando en que los problemas ligados a la economía informal generan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los gobiernos no sean capaces de proporcionar el mejor servicio a sus pobladores,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Considerando que los trabajadores que dependen de la economía informal no cuent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con suficientes garantías ni derechos,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Convencido de que se puede llegar a una solución factible, beneficiaria y sobre todo adaptable según cada país crea pertinente por su economía y desarrollo,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/>
        <w:ind w:left="7" w:right="49" w:firstLine="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Deseando que la economía informal no prospere si no que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ás bien se encuentren soluciones para los empleados y trabajadores que sufren debido a estos tipos de trabajos,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CLÁUSULAS OPERATIVAS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Identifican las acciones o recomendaciones hechas en la resolución. Cada cláusula operativa empieza con un verbo en tiempo presente del modo indicativo, llamada frase operativa y termina con un punto y coma. Organizadas siguiendo una estructura lógica. Cad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una contiene una idea o propuesta y siempre están numeradas. Si la cláusula requiere una explicación adicional se pueden utilizar letras o números romanos para señalarlo. Deben recomendar, establecer, definir, alentar, o pedir ciertas acciones, o bien 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ntar opiniones favorables y/o desfavorables con respecto a una situación existente. Puede adquirir el carácter de Recomendación, Declaración, Convención, Tratado, Reglamento, etc... 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2" w:line="240" w:lineRule="auto"/>
        <w:ind w:left="17"/>
        <w:jc w:val="both"/>
        <w:rPr>
          <w:rFonts w:ascii="Times New Roman" w:eastAsia="Times New Roman" w:hAnsi="Times New Roman" w:cs="Times New Roman"/>
          <w:color w:val="81818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Ejemplos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(Borrar al final)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:rsidR="00E930BE" w:rsidRDefault="00D442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 en que la educación comienza prior</w:t>
      </w:r>
      <w:r>
        <w:rPr>
          <w:rFonts w:ascii="Times New Roman" w:eastAsia="Times New Roman" w:hAnsi="Times New Roman" w:cs="Times New Roman"/>
          <w:sz w:val="24"/>
          <w:szCs w:val="24"/>
        </w:rPr>
        <w:t>itariamente con el análisis y estudio y esto con un sistema educativo que se adapte a los alumnos, esto se logrará liderado por la OEA creando plataformas digitales con un análisis completo de cada perfil de los estudiantes que lo conforman, esto es, sin pérdida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dinero por lo cual el proyecto TUSA sugiere la reclutación de universitarios a punto de titularse teniendo como propósito de tesis al:</w:t>
      </w:r>
    </w:p>
    <w:p w:rsidR="00E930BE" w:rsidRDefault="00D4426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Alentar la educación profesional, resaltando que para aquellos países que no se les sea posible sustentar dicha deberán aplicar programas de educación técnica desde la educación media,</w:t>
      </w:r>
    </w:p>
    <w:p w:rsidR="00E930BE" w:rsidRDefault="00D4426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Recomendar la capacitación de adultos y de mayores no jubilados con el </w:t>
      </w:r>
      <w:r>
        <w:rPr>
          <w:rFonts w:ascii="Times New Roman" w:eastAsia="Times New Roman" w:hAnsi="Times New Roman" w:cs="Times New Roman"/>
          <w:sz w:val="24"/>
          <w:szCs w:val="24"/>
        </w:rPr>
        <w:t>fin de unir la fuerza laboral nacional,</w:t>
      </w:r>
    </w:p>
    <w:p w:rsidR="00E930BE" w:rsidRDefault="00D4426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Exhortar a la implementación y adquisición de microempresas y educación manteniendo cercanía con el programa nacional,</w:t>
      </w:r>
    </w:p>
    <w:p w:rsidR="00E930BE" w:rsidRDefault="00D4426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Buscar el uso de escuelas técnicas vinculado al programa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microempresas y una evaluación de áreas de oportunidad dirigida por orientación profesional;</w:t>
      </w:r>
    </w:p>
    <w:p w:rsidR="00E930BE" w:rsidRDefault="00E93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E930BE" w:rsidRDefault="00D442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Enfatiza la importancia de promover la educación primaria y secundaria obligatoria, como método de red</w:t>
      </w:r>
      <w:r>
        <w:rPr>
          <w:rFonts w:ascii="Times New Roman" w:eastAsia="Times New Roman" w:hAnsi="Times New Roman" w:cs="Times New Roman"/>
          <w:sz w:val="24"/>
          <w:szCs w:val="24"/>
        </w:rPr>
        <w:t>ucción de la informalidad a largo plazo y la reducción del trabajo infantil, Se 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sugiere a los diferentes gobiernos:</w:t>
      </w:r>
    </w:p>
    <w:p w:rsidR="00E930BE" w:rsidRDefault="00D442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Establecer métodos de sanciones a aquellas familias cuyos hijos no estén enrolados en el sistema educativo correspondiente,</w:t>
      </w:r>
    </w:p>
    <w:p w:rsidR="00E930BE" w:rsidRDefault="00D442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Implementar proyectos con el fin de incentivar a la participación en la educación como lo son,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ejemplo, las meriendas escolares,</w:t>
      </w:r>
    </w:p>
    <w:p w:rsidR="00E930BE" w:rsidRDefault="00E93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Anima la implementación de proyectos de salud universales que sean accesibles por los</w:t>
      </w: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ciudadanos, sin importar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estatus laboral, para así, mejorar la calidad de vida de los mismos. Entre ellos:</w:t>
      </w:r>
    </w:p>
    <w:p w:rsidR="00E930BE" w:rsidRDefault="00D4426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sistema de vacunación gratuita para aquellos menores en el rango de edades entre los 0 y los 5 años;</w:t>
      </w:r>
    </w:p>
    <w:p w:rsidR="00E930BE" w:rsidRDefault="00E93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E930BE" w:rsidRDefault="00D442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Hace hincapié en torno a las problemáticas ligadas a los migrantes, fomentando la creación de campañas que promuevan el trabajo interno en los países para disminuir la migración masiva hacia Estados Unidos y demás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países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américa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30BE" w:rsidRDefault="00E93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p w:rsidR="00E930BE" w:rsidRDefault="00E930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376"/>
        <w:rPr>
          <w:rFonts w:ascii="Times New Roman" w:eastAsia="Times New Roman" w:hAnsi="Times New Roman" w:cs="Times New Roman"/>
          <w:sz w:val="24"/>
          <w:szCs w:val="24"/>
        </w:rPr>
      </w:pPr>
    </w:p>
    <w:sectPr w:rsidR="00E930BE">
      <w:pgSz w:w="11920" w:h="16840"/>
      <w:pgMar w:top="1370" w:right="1295" w:bottom="529" w:left="13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61B7"/>
    <w:multiLevelType w:val="multilevel"/>
    <w:tmpl w:val="D4567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B43ABA"/>
    <w:multiLevelType w:val="multilevel"/>
    <w:tmpl w:val="71F8B05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30774B1"/>
    <w:multiLevelType w:val="multilevel"/>
    <w:tmpl w:val="E6144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F604EA"/>
    <w:multiLevelType w:val="multilevel"/>
    <w:tmpl w:val="78721D7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359160F"/>
    <w:multiLevelType w:val="multilevel"/>
    <w:tmpl w:val="F1865BF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BE"/>
    <w:rsid w:val="00D44269"/>
    <w:rsid w:val="00E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19108-7687-48E3-8859-304D6EF8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4800</Characters>
  <Application>Microsoft Office Word</Application>
  <DocSecurity>0</DocSecurity>
  <Lines>40</Lines>
  <Paragraphs>11</Paragraphs>
  <ScaleCrop>false</ScaleCrop>
  <Company>HP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Peña</cp:lastModifiedBy>
  <cp:revision>2</cp:revision>
  <dcterms:created xsi:type="dcterms:W3CDTF">2022-10-21T05:19:00Z</dcterms:created>
  <dcterms:modified xsi:type="dcterms:W3CDTF">2022-10-21T05:19:00Z</dcterms:modified>
</cp:coreProperties>
</file>